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0" w:rsidRPr="00BB23F4" w:rsidRDefault="00352770" w:rsidP="00352770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lang w:val="ru-RU"/>
        </w:rPr>
        <w:t>Технология организации учебно-исследовательской деятельности старшеклассников с использованием ЭОР</w:t>
      </w:r>
    </w:p>
    <w:p w:rsidR="00352770" w:rsidRDefault="00352770" w:rsidP="00352770">
      <w:pPr>
        <w:spacing w:after="0"/>
        <w:jc w:val="center"/>
        <w:rPr>
          <w:rFonts w:ascii="Arial" w:hAnsi="Arial" w:cs="Arial"/>
          <w:b/>
          <w:bCs/>
          <w:color w:val="333333"/>
          <w:lang w:val="ru-RU"/>
        </w:rPr>
      </w:pPr>
    </w:p>
    <w:p w:rsidR="00352770" w:rsidRP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учебно-исследовательской деятельностью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 понимается процесс решения ими научных и личностных проблем, имеющий своей целью построение субъективно нового знания.</w:t>
      </w:r>
    </w:p>
    <w:p w:rsidR="00352770" w:rsidRP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Учителя используют на уроке педагогические технологии, основанные на применении исследовательского метода обучения.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2770" w:rsidRP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Исследовательский метод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самостоятельное (без пошагового руководства учителя) решение учащимися новой для них проблемы с применением таких элементов научного исследования, как наблюдение и самостоятельный анализ фактов, выдвижение гипотезы и ее проверка, формулирование выводов, закона или закономерности. Применение исследовательского метода возможно в ходе решения сложной задачи анализа первоисточников, разрешения поставленной учителем проблемы и др.</w:t>
      </w:r>
    </w:p>
    <w:p w:rsid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B23F4">
        <w:rPr>
          <w:rFonts w:ascii="Times New Roman" w:hAnsi="Times New Roman" w:cs="Times New Roman"/>
          <w:sz w:val="24"/>
          <w:szCs w:val="24"/>
          <w:lang w:val="ru-RU"/>
        </w:rPr>
        <w:t>Существует множество видов нетрадиционных уроков, предполагающих выполнение учениками учебного исследования или его элементов: урок-исследование, урок-лаборатория, урок – творческий отчет, урок изобретательства, урок фантастического проекта, урок – рассказ об ученых, урок – защита исследовательских проектов, урок-экспертиза, урок – «патент на открытие», урок открытых мыслей и т. п.</w:t>
      </w:r>
      <w:proofErr w:type="gramEnd"/>
    </w:p>
    <w:p w:rsid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Учебный эксперимент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результатов. Учебный эксперимент осуществляется на базе школы на школьном оборудовании.</w:t>
      </w:r>
    </w:p>
    <w:p w:rsidR="00352770" w:rsidRPr="00BB23F4" w:rsidRDefault="0035277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Учебный эксперимент может включать в себя все или несколько элементов настоящего научного исследования: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наблюдение и изучение фактов и явлений, выявление проблемы, постановка исследовательской задачи;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определение цели, задач и гипотезы эксперимента;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разработка методики исследования, его плана, программы, методов обработки полученных результатов;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proofErr w:type="spellStart"/>
      <w:r w:rsidRPr="00BB23F4">
        <w:rPr>
          <w:rFonts w:ascii="Times New Roman" w:hAnsi="Times New Roman" w:cs="Times New Roman"/>
          <w:sz w:val="24"/>
          <w:szCs w:val="24"/>
          <w:lang w:val="ru-RU"/>
        </w:rPr>
        <w:t>пилотного</w:t>
      </w:r>
      <w:proofErr w:type="spellEnd"/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эксперимента, корректировка методики исследования в связи с ходом и результатами </w:t>
      </w:r>
      <w:proofErr w:type="spellStart"/>
      <w:r w:rsidRPr="00BB23F4">
        <w:rPr>
          <w:rFonts w:ascii="Times New Roman" w:hAnsi="Times New Roman" w:cs="Times New Roman"/>
          <w:sz w:val="24"/>
          <w:szCs w:val="24"/>
          <w:lang w:val="ru-RU"/>
        </w:rPr>
        <w:t>пилотного</w:t>
      </w:r>
      <w:proofErr w:type="spellEnd"/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эксперимента;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собственно эксперимент, количественный и качественный анализ полученных данных, интерпретация полученных фактов;</w:t>
      </w:r>
    </w:p>
    <w:p w:rsidR="00352770" w:rsidRPr="00BB23F4" w:rsidRDefault="00352770" w:rsidP="00BB23F4">
      <w:pPr>
        <w:pStyle w:val="ab"/>
        <w:numPr>
          <w:ilvl w:val="0"/>
          <w:numId w:val="3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формулирование выводов, защита результатов экспериментального исследования.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В рамках технологии организации исследовательской деятельности учащихся с использованием ЭУМ может быть использован </w:t>
      </w: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 «Предъявление доказательств»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Данный прием предполагает, что учащиеся в процессе работы над проектом собирают аргументы, которые подтверждают или опровергают какое-либо утверждение, и делают окончательные выводы. В результате формируется кейс как положительных, так и отрицательных аргументов.</w:t>
      </w:r>
    </w:p>
    <w:p w:rsidR="00352770" w:rsidRP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60490" w:rsidRPr="00BB23F4">
        <w:rPr>
          <w:rFonts w:ascii="Times New Roman" w:hAnsi="Times New Roman" w:cs="Times New Roman"/>
          <w:sz w:val="24"/>
          <w:szCs w:val="24"/>
          <w:lang w:val="ru-RU"/>
        </w:rPr>
        <w:t>реимущества вышеуказанного приема для учащихся:</w:t>
      </w:r>
    </w:p>
    <w:p w:rsidR="00460490" w:rsidRPr="00BB23F4" w:rsidRDefault="00460490" w:rsidP="00BB23F4">
      <w:pPr>
        <w:pStyle w:val="ab"/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Совместная работа учащихся с использованием данного приема способствует формированию мышления на высоком уровне.</w:t>
      </w:r>
    </w:p>
    <w:p w:rsidR="00460490" w:rsidRPr="00BB23F4" w:rsidRDefault="00460490" w:rsidP="00BB23F4">
      <w:pPr>
        <w:pStyle w:val="ab"/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Демонстрирование доказательств обеспечивает обсуждение и понимание множества идей.</w:t>
      </w:r>
    </w:p>
    <w:p w:rsidR="00460490" w:rsidRPr="00BB23F4" w:rsidRDefault="00460490" w:rsidP="00BB23F4">
      <w:pPr>
        <w:pStyle w:val="ab"/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Данный прием допускает интерактивную и динамичную зрительную наглядность мыслительной деятельности.</w:t>
      </w:r>
    </w:p>
    <w:p w:rsidR="00460490" w:rsidRPr="00BB23F4" w:rsidRDefault="00460490" w:rsidP="00BB23F4">
      <w:pPr>
        <w:pStyle w:val="ab"/>
        <w:numPr>
          <w:ilvl w:val="0"/>
          <w:numId w:val="36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Группа может анализировать материалы другой группы, усиливая при этом вербальные навыки аргументации.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Учащиеся должны быть внимательны в распознавании, оценке и трактовке доказательств, так же как и в их анализе, поддерживая или опровергая выдвинутое утверждение. Доказательства учащиеся подбирают к утверждениям, имеющимся в ЭУМ.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Домашнее задание исследовательского характера может сочетать в себе вышеперечисленные варианты, причем позволяет провести учебное исследование, достаточно протяженное во времени.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предполагает более широкие возможности для реализации учебно-исследовательской деятельности.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3F4" w:rsidRDefault="00BB23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ИССЛЕДОВАТЕЛЬСКАЯ ПРАКТИКА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Некоторые школы включают в свои образовательные программы исследовательскую практику учащихся. Исследовательская практика учащихся может проводиться в самой школе, на базе внешних учреждений образования и науки или в полевых условиях.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Целями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: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углубление знаний в выбранных предметных областях;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исследовательских умений, практических и </w:t>
      </w:r>
      <w:proofErr w:type="spellStart"/>
      <w:r w:rsidRPr="00BB23F4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навыков;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самоопределение в выборе будущей специальности;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знакомство с научными учреждениями, лабораториями, технологическими процессами;</w:t>
      </w:r>
    </w:p>
    <w:p w:rsidR="00460490" w:rsidRPr="00BB23F4" w:rsidRDefault="00460490" w:rsidP="00BB23F4">
      <w:pPr>
        <w:pStyle w:val="ab"/>
        <w:numPr>
          <w:ilvl w:val="0"/>
          <w:numId w:val="3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формирование коммуникативных навыков работы со специалистами.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Исследовательская практика может быть организована на базе научного учреждения или в школе и включать следующие шаги: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Экскурсия по лабораториям, знакомство со специалистами, с технологическими процессами, оборудованием.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Формулировка тем исследования (при подборе тем следует руководствоваться целями практики и уровнем сложности задания для учащегося, обеспечить несколько вариантов тем, прокомментировать каждую из них).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Изучение учащимися материала по предложенным темам исследования с использованием ЭУМ.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Изучение учащимися ЭУМ с целью расширения осведомленности по проблеме, конкретизация идей.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Проектирование основных этапов исследования, составление учащимися плана-графика работ.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Осуществление руководства практической деятельностью (в процессе руководства рекомендуется проводить обсуждение промежуточных результатов исследований).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Анализ и оценка учащимися полученных результатов, оформление статьи – отчета о результатах исследования.</w:t>
      </w:r>
    </w:p>
    <w:p w:rsidR="00460490" w:rsidRPr="00BB23F4" w:rsidRDefault="00460490" w:rsidP="00BB23F4">
      <w:pPr>
        <w:pStyle w:val="ab"/>
        <w:numPr>
          <w:ilvl w:val="0"/>
          <w:numId w:val="38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Рецензирование статьи руководителем исследовательской практики, оценка исследовательской практики ученика.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На этапе проектирования основных этапов исследования необходимо определить цель, задачи, перечень необходимых ресурсов, последовательность действий, ожидаемые результаты и возможные затруднения.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Оценка исследовательской практики осуществляется по следующим параметрам:</w:t>
      </w:r>
    </w:p>
    <w:p w:rsidR="00460490" w:rsidRPr="00BB23F4" w:rsidRDefault="00460490" w:rsidP="00BB23F4">
      <w:pPr>
        <w:pStyle w:val="ab"/>
        <w:numPr>
          <w:ilvl w:val="0"/>
          <w:numId w:val="39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теоретическое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;</w:t>
      </w:r>
    </w:p>
    <w:p w:rsidR="00460490" w:rsidRPr="00BB23F4" w:rsidRDefault="00460490" w:rsidP="00BB23F4">
      <w:pPr>
        <w:pStyle w:val="ab"/>
        <w:numPr>
          <w:ilvl w:val="0"/>
          <w:numId w:val="39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исследовательских умений и практических навыков;</w:t>
      </w:r>
    </w:p>
    <w:p w:rsidR="00460490" w:rsidRPr="00BB23F4" w:rsidRDefault="00460490" w:rsidP="00BB23F4">
      <w:pPr>
        <w:pStyle w:val="ab"/>
        <w:numPr>
          <w:ilvl w:val="0"/>
          <w:numId w:val="39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B23F4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proofErr w:type="gram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оформления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статьи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ВЫПУСКНАЯ ЭКЗАМЕНАЦИОННАЯ РАБОТА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Существует практика сдачи переводных и выпускных экзаменов в форме защиты выпускной экзаменационной работы.</w:t>
      </w: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Выпускная экзаменационная работа (ВЭР)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это учебно-исследовательское ученическое произведение на определенную тему.</w:t>
      </w:r>
    </w:p>
    <w:p w:rsid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ВЭР выполняется в целях систематизации, расширения и углубления теоретических знаний школьника, а также развития навыков самостоятельной работы, овладения методикой исследования и экспериментирования при решении учебных задач.</w:t>
      </w:r>
    </w:p>
    <w:p w:rsidR="00460490" w:rsidRPr="00BB23F4" w:rsidRDefault="00460490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Ключевые элементы ВЭР, определяющие специфику данной формы учебно-исследовательской деятельности: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выдвижение проблемы (т. е. постановка вопроса, требующего ответа);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выявление и введение в научный оборот новых источников и установление на этой основе новых фактов;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установление новых связей между известными явлениями;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lastRenderedPageBreak/>
        <w:t>новая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постановка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известной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;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оригинальные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;</w:t>
      </w:r>
    </w:p>
    <w:p w:rsidR="00460490" w:rsidRPr="00BB23F4" w:rsidRDefault="00460490" w:rsidP="00BB23F4">
      <w:pPr>
        <w:pStyle w:val="ab"/>
        <w:numPr>
          <w:ilvl w:val="0"/>
          <w:numId w:val="40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формулировка рекомендаций по использованию выявленных материалов и выводов в учебном процессе.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460490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Процесс подготовки и выполнения ВЭР включает несколько основных этапов: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Составление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Выбор методики работы над источниками и литературой.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Составление календарного плана выполнения работы.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Сбор материалов, составление библиографии, анализ и обобщение собранного материала.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Письменное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изложение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Формулировка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выводов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Проверка текста научным руководителем, составление им отзыва о работе.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Внесение исправлений и литературная обработка рукописи.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Оформление работы, составление библиографии, приложений, оформление титульного листа.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Рецензирование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ВЭР.</w:t>
      </w:r>
    </w:p>
    <w:p w:rsidR="006065DD" w:rsidRPr="00BB23F4" w:rsidRDefault="006065DD" w:rsidP="00BB23F4">
      <w:pPr>
        <w:pStyle w:val="ab"/>
        <w:numPr>
          <w:ilvl w:val="0"/>
          <w:numId w:val="4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Подготовка к защите: написание текста выступления, отбор необходимых материалов (схем, диаграмм, таблиц, иллюстраций) для демонстрации во время защиты.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 ЭКСПЕДИЦИИ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Интегративные образовательные экспедиции (ИОЭ)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Основная идея проекта ИОЭ – создание системы интегративных образовательных экспедиций по историко-культурным и литературным местам России, в ходе которых происходит знакомство с памятниками живописи, архитектуры, скульптуры и зодчества, дворцовой, усадебной и парковой архитектурой.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Образовательные экспедиции способствуют духовно-нравственному, эмоционально-ценностному развитию личности и воспитанию патриотического чувств</w:t>
      </w:r>
      <w:proofErr w:type="gramStart"/>
      <w:r w:rsidRPr="00BB23F4">
        <w:rPr>
          <w:rFonts w:ascii="Times New Roman" w:hAnsi="Times New Roman" w:cs="Times New Roman"/>
          <w:sz w:val="24"/>
          <w:szCs w:val="24"/>
          <w:lang w:val="ru-RU"/>
        </w:rPr>
        <w:t>а у ее</w:t>
      </w:r>
      <w:proofErr w:type="gramEnd"/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ИОЭ:</w:t>
      </w:r>
    </w:p>
    <w:p w:rsidR="006065DD" w:rsidRPr="00BB23F4" w:rsidRDefault="006065DD" w:rsidP="00BB23F4">
      <w:pPr>
        <w:pStyle w:val="ab"/>
        <w:numPr>
          <w:ilvl w:val="0"/>
          <w:numId w:val="42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пробуждение у учащихся чувства национальной гордости, патриотизма;</w:t>
      </w:r>
    </w:p>
    <w:p w:rsidR="006065DD" w:rsidRPr="00BB23F4" w:rsidRDefault="006065DD" w:rsidP="00BB23F4">
      <w:pPr>
        <w:pStyle w:val="ab"/>
        <w:numPr>
          <w:ilvl w:val="0"/>
          <w:numId w:val="42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реализация основной воспитательной задачи школы – воспитание свободной и ответственной личности, способной строить достойную жизнь;</w:t>
      </w:r>
    </w:p>
    <w:p w:rsidR="006065DD" w:rsidRPr="00BB23F4" w:rsidRDefault="006065DD" w:rsidP="00BB23F4">
      <w:pPr>
        <w:pStyle w:val="ab"/>
        <w:numPr>
          <w:ilvl w:val="0"/>
          <w:numId w:val="42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расширение духовного опыта учащихся и педагогов путем восприятия «живого знания»: от эмпирической действительности через познание и переживание увиденного к пониманию;</w:t>
      </w:r>
    </w:p>
    <w:p w:rsidR="006065DD" w:rsidRPr="00BB23F4" w:rsidRDefault="006065DD" w:rsidP="00BB23F4">
      <w:pPr>
        <w:pStyle w:val="ab"/>
        <w:numPr>
          <w:ilvl w:val="0"/>
          <w:numId w:val="42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пробуждение у учащихся интереса к изучению художественного и научного наследия российских писателей, художников, архитекторов, скульпторов, путешественников, ученых и так далее, к изучению их биографий и творческого наследия;</w:t>
      </w:r>
    </w:p>
    <w:p w:rsidR="006065DD" w:rsidRPr="00BB23F4" w:rsidRDefault="006065DD" w:rsidP="00BB23F4">
      <w:pPr>
        <w:pStyle w:val="ab"/>
        <w:numPr>
          <w:ilvl w:val="0"/>
          <w:numId w:val="42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включение учащихся в исследовательскую деятельность литературоведческого, культурологического, географического, исторического и социологического характера.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Этапы ИОЭ:</w:t>
      </w: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1 этап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подготовительный. Включает в себя изучение эпохи, знакомство с биографиями писателей, художников, путешественников, ученых и их творческим и научным наследием. Реализация этого этапа предполагает подготовку и проведение учащимися совместно с учителем «заочной экскурсии». Уже на подготовительном этапе учащиеся делают свои маленькие «открытия» и делятся ими со своими одноклассниками. Рождается активное внутреннее стремление к познанию нового, которое воплощается в желании школьника увидеть своими глазами литературные, культурные, исторические места России, связанные с жизнью и творчеством выдающихся людей нашей Родины. Участники предстоящей экспедиции составляют ее проект, определяют индивидуальные (или групповые) исследовательские задания.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2 этап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экспедиционный. Собственно экскурсия, включающая сбор необходимых для выполнения проекта материалов, впечатлений, наблюдений, переживаний.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 этап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исследовательский. На этом этапе происходит обобщение, систематизация и оформление материалов, собранных в ходе ИОЭ, выполнение заданий экспедиции, написание учебно-исследовательской работы, подготовка к ее публичной защите. Кроме того, может быть организована работа специального семинара, занятия которого обобщают, расширяют и углубляют какой-либо аспект экспедиции.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4 этап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рефлексивный. Каждый участник ИОЭ (учителя, учащиеся) оценивает личную значимость данной экспедиции и выполненной проектной работы.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ФАКУЛЬТАТИВНЫЕ ЗАНЯТИЯ</w:t>
      </w:r>
    </w:p>
    <w:p w:rsidR="00BB23F4" w:rsidRP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Данная форма учебно-исследовательской деятельности учащихся предполагает углубленное изучение предмета; особенно актуальна для старшеклассников в рамках профессионального самоопределения.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</w:rPr>
        <w:t>УЧЕНИЧЕСКОЕ НАУЧНО-ИССЛЕДОВАТЕЛЬСКОЕ ОБЩЕСТВО</w:t>
      </w:r>
    </w:p>
    <w:p w:rsidR="00BB23F4" w:rsidRP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Ученическое научно-исследовательское общество (УНИО)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t xml:space="preserve"> – форма внеклассной работы,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школ.</w:t>
      </w:r>
      <w:proofErr w:type="gramEnd"/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УНИО как сообщество детей и взрослых несет в себе большой воспитательный потенциал. Кроме работы над учебными исследованиями учащиеся могут получить в УНИО опыт самоуправления, развития своих коммуникативных умений, а также приложения своих творческих способностей в области искусства, литературы.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Участие старшеклассников в олимпиадах, конкурсах, конференциях, в т. ч.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Независимо от различных форм учебно-исследовательской деятельности учащихся выделяются следующие основные этапы учебного исследования: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Выявление противоречия и постановка проблемы, требующей решения.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Определение задач по достижению цели.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Анализ и обобщение собранного материала.</w:t>
      </w:r>
    </w:p>
    <w:p w:rsidR="006065DD" w:rsidRPr="00BB23F4" w:rsidRDefault="006065DD" w:rsidP="00BB23F4">
      <w:pPr>
        <w:pStyle w:val="ab"/>
        <w:numPr>
          <w:ilvl w:val="0"/>
          <w:numId w:val="4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B23F4">
        <w:rPr>
          <w:rFonts w:ascii="Times New Roman" w:hAnsi="Times New Roman" w:cs="Times New Roman"/>
          <w:sz w:val="24"/>
          <w:szCs w:val="24"/>
        </w:rPr>
        <w:t>Собственные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4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BB23F4">
        <w:rPr>
          <w:rFonts w:ascii="Times New Roman" w:hAnsi="Times New Roman" w:cs="Times New Roman"/>
          <w:sz w:val="24"/>
          <w:szCs w:val="24"/>
        </w:rPr>
        <w:t>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В целом технология организации учебно-исследовательской деятельности учащихся может быть представлена следующим образом.</w:t>
      </w:r>
    </w:p>
    <w:p w:rsidR="006065DD" w:rsidRPr="00BB23F4" w:rsidRDefault="006065DD" w:rsidP="00BB23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72080" cy="3178643"/>
            <wp:effectExtent l="19050" t="0" r="94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83" cy="318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Важными механизмами развития учебно-исследовательской деятельности учащихся являются:</w:t>
      </w:r>
    </w:p>
    <w:p w:rsidR="006065DD" w:rsidRPr="00BB23F4" w:rsidRDefault="006065DD" w:rsidP="00BB23F4">
      <w:pPr>
        <w:pStyle w:val="ab"/>
        <w:numPr>
          <w:ilvl w:val="0"/>
          <w:numId w:val="4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создание творческой атмосферы, мотивация интереса к исследовательской, проектной, творческой деятельности;</w:t>
      </w:r>
    </w:p>
    <w:p w:rsidR="006065DD" w:rsidRPr="00BB23F4" w:rsidRDefault="006065DD" w:rsidP="00BB23F4">
      <w:pPr>
        <w:pStyle w:val="ab"/>
        <w:numPr>
          <w:ilvl w:val="0"/>
          <w:numId w:val="4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инициирование и всесторонняя поддержка поисковой, исследовательской, проектной деятельности;</w:t>
      </w:r>
    </w:p>
    <w:p w:rsidR="006065DD" w:rsidRPr="00BB23F4" w:rsidRDefault="006065DD" w:rsidP="00BB23F4">
      <w:pPr>
        <w:pStyle w:val="ab"/>
        <w:numPr>
          <w:ilvl w:val="0"/>
          <w:numId w:val="4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сопровождение исследовательской и проектной деятельности;</w:t>
      </w:r>
    </w:p>
    <w:p w:rsidR="006065DD" w:rsidRPr="00BB23F4" w:rsidRDefault="006065DD" w:rsidP="00BB23F4">
      <w:pPr>
        <w:pStyle w:val="ab"/>
        <w:numPr>
          <w:ilvl w:val="0"/>
          <w:numId w:val="4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поддержки, внедрения и распространения результатов деятельности.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МОДЕЛИ ОРГАНИЗАЦИИ УЧЕБНО-ИССЛЕДОВАТЕЛЬСКОЙ ДЕЯТЕЛЬНОСТИ УЧАЩИХСЯ</w:t>
      </w:r>
    </w:p>
    <w:p w:rsidR="00BB23F4" w:rsidRP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Рассмотрим различные модели организации учебно-исследовательской деятельности учащихся.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Модель 1. «Обучение исследованию».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Модель 2. «Приглашение к исследованию».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Модель 3. «Систематическое исследование».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Модель 1. «Обучение исследованию»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Цель: не столько достижение результата, сколько освоение самого процесса исследования.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Технология: учитель ставит проблему и намечает стратегию и тактику ее решения, само решение предстоит найти учащемуся. Модель реализуется как форма организации индивидуальной деятельности ученика во внеурочное время.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1. Столкновение с проблемой.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2. Сбор данных – верификация.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3. Сбор данных – экспериментирование.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4. Построение объяснения.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5. Анализ хода исследования.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Модель 2. «Приглашение к исследованию»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Цель: развитие проблемного видения, стимулирование поискового мышления.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Технология: учитель ставит проблему, но уже метод ее решения ученики ищут самостоятельно. Реализуется как форма организации групповой и коллективной деятельности ученика во время урока.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1. Знакомство с содержанием предстоящего исследования.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2. Построение собственного понимания замысла исследования.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3. Выделение трудностей учебного познания как проблемы исследования.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4. Реализация собственного способа построения исследовательской процедуры.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Модель 3. «Систематическое исследование»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Цель: формирование научного мышления, синтез процесса исследования и его результатов.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Технология: постановка проблемы, поиск методов ее исследования и разработка решения осуществляется учащимся самостоятельно.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Шаг 1. Определение проблемы.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2. Выдвижение гипотезы.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3. Выбор источников информации.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4. Анализ и синтез данных.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>Шаг 5. Организация данных для ответа на поставленные вопросы и проверки гипотезы.</w:t>
      </w:r>
      <w:r w:rsidRPr="00BB23F4">
        <w:rPr>
          <w:rFonts w:ascii="Times New Roman" w:hAnsi="Times New Roman" w:cs="Times New Roman"/>
          <w:sz w:val="24"/>
          <w:szCs w:val="24"/>
          <w:lang w:val="ru-RU"/>
        </w:rPr>
        <w:br/>
        <w:t xml:space="preserve">Шаг 6. Интерпретация данных в соотнесении с социальными, </w:t>
      </w:r>
      <w:proofErr w:type="gramStart"/>
      <w:r w:rsidRPr="00BB23F4">
        <w:rPr>
          <w:rFonts w:ascii="Times New Roman" w:hAnsi="Times New Roman" w:cs="Times New Roman"/>
          <w:sz w:val="24"/>
          <w:szCs w:val="24"/>
          <w:lang w:val="ru-RU"/>
        </w:rPr>
        <w:t>экономическими и политическими процессами</w:t>
      </w:r>
      <w:proofErr w:type="gramEnd"/>
      <w:r w:rsidRPr="00BB23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23F4" w:rsidRDefault="00BB23F4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ЭОР нового поколения позволяют обеспечить развитие творческого мышления, навыков самообразования и интерактивного взаимодействия, что может быть реализовано в процессе реализации современных педагогических технологий.</w:t>
      </w:r>
    </w:p>
    <w:p w:rsid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t>Приведенные выше примеры лишь иллюстрируют возможности ЭОР нового поколения в условиях построения инновационного образовательного процесса. Спектр педагогических технологий, в которые могут быть включены ЭОР нового поколения, достаточно широк. Среди них можно назвать: технологии рефлексивного, игрового, проблемного обучения, группового взаимодействия, кейс-технологию и т. п.</w:t>
      </w:r>
    </w:p>
    <w:p w:rsidR="006065DD" w:rsidRPr="00BB23F4" w:rsidRDefault="006065DD" w:rsidP="00BB23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BB23F4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современных моделей обучения, их инновационный характер способствуют расширению возможностей применения ЭОР и расширению их функционального назначения в условиях использования современных педагогических технологий.</w:t>
      </w:r>
    </w:p>
    <w:p w:rsidR="006065DD" w:rsidRPr="006065DD" w:rsidRDefault="006065DD" w:rsidP="006065DD">
      <w:pPr>
        <w:spacing w:after="0"/>
        <w:rPr>
          <w:lang w:val="ru-RU"/>
        </w:rPr>
      </w:pPr>
    </w:p>
    <w:sectPr w:rsidR="006065DD" w:rsidRPr="006065DD" w:rsidSect="00332A0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CA"/>
    <w:multiLevelType w:val="hybridMultilevel"/>
    <w:tmpl w:val="9D20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D9C"/>
    <w:multiLevelType w:val="hybridMultilevel"/>
    <w:tmpl w:val="7462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433B"/>
    <w:multiLevelType w:val="hybridMultilevel"/>
    <w:tmpl w:val="F882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06EA4"/>
    <w:multiLevelType w:val="hybridMultilevel"/>
    <w:tmpl w:val="BFDC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F7798"/>
    <w:multiLevelType w:val="hybridMultilevel"/>
    <w:tmpl w:val="CE9A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1735"/>
    <w:multiLevelType w:val="hybridMultilevel"/>
    <w:tmpl w:val="DEF8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C676E"/>
    <w:multiLevelType w:val="hybridMultilevel"/>
    <w:tmpl w:val="505A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2440"/>
    <w:multiLevelType w:val="hybridMultilevel"/>
    <w:tmpl w:val="DD82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C60F1"/>
    <w:multiLevelType w:val="hybridMultilevel"/>
    <w:tmpl w:val="AC9E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12386"/>
    <w:multiLevelType w:val="hybridMultilevel"/>
    <w:tmpl w:val="EA2C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C3DFB"/>
    <w:multiLevelType w:val="hybridMultilevel"/>
    <w:tmpl w:val="E8E4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20B2F"/>
    <w:multiLevelType w:val="hybridMultilevel"/>
    <w:tmpl w:val="8CA2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23ABC"/>
    <w:multiLevelType w:val="hybridMultilevel"/>
    <w:tmpl w:val="F0D0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DF8"/>
    <w:multiLevelType w:val="hybridMultilevel"/>
    <w:tmpl w:val="D9D8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735E4"/>
    <w:multiLevelType w:val="hybridMultilevel"/>
    <w:tmpl w:val="3C94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55C61"/>
    <w:multiLevelType w:val="hybridMultilevel"/>
    <w:tmpl w:val="62F8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4EF0"/>
    <w:multiLevelType w:val="hybridMultilevel"/>
    <w:tmpl w:val="2F3C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F31A3"/>
    <w:multiLevelType w:val="hybridMultilevel"/>
    <w:tmpl w:val="04F2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A02FB"/>
    <w:multiLevelType w:val="hybridMultilevel"/>
    <w:tmpl w:val="2A60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10765"/>
    <w:multiLevelType w:val="hybridMultilevel"/>
    <w:tmpl w:val="B294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1065F"/>
    <w:multiLevelType w:val="hybridMultilevel"/>
    <w:tmpl w:val="261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D7D47"/>
    <w:multiLevelType w:val="hybridMultilevel"/>
    <w:tmpl w:val="AB24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0648C"/>
    <w:multiLevelType w:val="hybridMultilevel"/>
    <w:tmpl w:val="231C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F7067"/>
    <w:multiLevelType w:val="hybridMultilevel"/>
    <w:tmpl w:val="D184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E08CF"/>
    <w:multiLevelType w:val="hybridMultilevel"/>
    <w:tmpl w:val="208A9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75347"/>
    <w:multiLevelType w:val="hybridMultilevel"/>
    <w:tmpl w:val="282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8621E"/>
    <w:multiLevelType w:val="hybridMultilevel"/>
    <w:tmpl w:val="D86C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348A6"/>
    <w:multiLevelType w:val="hybridMultilevel"/>
    <w:tmpl w:val="A7D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9555E"/>
    <w:multiLevelType w:val="hybridMultilevel"/>
    <w:tmpl w:val="6604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61700"/>
    <w:multiLevelType w:val="hybridMultilevel"/>
    <w:tmpl w:val="102A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5023D"/>
    <w:multiLevelType w:val="hybridMultilevel"/>
    <w:tmpl w:val="F7B2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C4078"/>
    <w:multiLevelType w:val="hybridMultilevel"/>
    <w:tmpl w:val="1410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7273C"/>
    <w:multiLevelType w:val="hybridMultilevel"/>
    <w:tmpl w:val="BCEE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166D3"/>
    <w:multiLevelType w:val="hybridMultilevel"/>
    <w:tmpl w:val="19C0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67BA1"/>
    <w:multiLevelType w:val="hybridMultilevel"/>
    <w:tmpl w:val="C68E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0434C"/>
    <w:multiLevelType w:val="hybridMultilevel"/>
    <w:tmpl w:val="F5EE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23918"/>
    <w:multiLevelType w:val="hybridMultilevel"/>
    <w:tmpl w:val="31D0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E566E"/>
    <w:multiLevelType w:val="hybridMultilevel"/>
    <w:tmpl w:val="F7E6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B2296"/>
    <w:multiLevelType w:val="hybridMultilevel"/>
    <w:tmpl w:val="FDF0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2744C"/>
    <w:multiLevelType w:val="hybridMultilevel"/>
    <w:tmpl w:val="A3C0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F7393"/>
    <w:multiLevelType w:val="hybridMultilevel"/>
    <w:tmpl w:val="2A86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5532E"/>
    <w:multiLevelType w:val="hybridMultilevel"/>
    <w:tmpl w:val="AF5A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10922"/>
    <w:multiLevelType w:val="hybridMultilevel"/>
    <w:tmpl w:val="219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F3815"/>
    <w:multiLevelType w:val="hybridMultilevel"/>
    <w:tmpl w:val="9432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40CDA"/>
    <w:multiLevelType w:val="hybridMultilevel"/>
    <w:tmpl w:val="8A62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54AC7"/>
    <w:multiLevelType w:val="hybridMultilevel"/>
    <w:tmpl w:val="D57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0E69D8"/>
    <w:multiLevelType w:val="hybridMultilevel"/>
    <w:tmpl w:val="A58C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A5F65"/>
    <w:multiLevelType w:val="hybridMultilevel"/>
    <w:tmpl w:val="FA68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7"/>
  </w:num>
  <w:num w:numId="3">
    <w:abstractNumId w:val="27"/>
  </w:num>
  <w:num w:numId="4">
    <w:abstractNumId w:val="19"/>
  </w:num>
  <w:num w:numId="5">
    <w:abstractNumId w:val="41"/>
  </w:num>
  <w:num w:numId="6">
    <w:abstractNumId w:val="7"/>
  </w:num>
  <w:num w:numId="7">
    <w:abstractNumId w:val="30"/>
  </w:num>
  <w:num w:numId="8">
    <w:abstractNumId w:val="9"/>
  </w:num>
  <w:num w:numId="9">
    <w:abstractNumId w:val="25"/>
  </w:num>
  <w:num w:numId="10">
    <w:abstractNumId w:val="10"/>
  </w:num>
  <w:num w:numId="11">
    <w:abstractNumId w:val="17"/>
  </w:num>
  <w:num w:numId="12">
    <w:abstractNumId w:val="4"/>
  </w:num>
  <w:num w:numId="13">
    <w:abstractNumId w:val="36"/>
  </w:num>
  <w:num w:numId="14">
    <w:abstractNumId w:val="23"/>
  </w:num>
  <w:num w:numId="15">
    <w:abstractNumId w:val="12"/>
  </w:num>
  <w:num w:numId="16">
    <w:abstractNumId w:val="2"/>
  </w:num>
  <w:num w:numId="17">
    <w:abstractNumId w:val="3"/>
  </w:num>
  <w:num w:numId="18">
    <w:abstractNumId w:val="35"/>
  </w:num>
  <w:num w:numId="19">
    <w:abstractNumId w:val="15"/>
  </w:num>
  <w:num w:numId="20">
    <w:abstractNumId w:val="31"/>
  </w:num>
  <w:num w:numId="21">
    <w:abstractNumId w:val="34"/>
  </w:num>
  <w:num w:numId="22">
    <w:abstractNumId w:val="40"/>
  </w:num>
  <w:num w:numId="23">
    <w:abstractNumId w:val="1"/>
  </w:num>
  <w:num w:numId="24">
    <w:abstractNumId w:val="28"/>
  </w:num>
  <w:num w:numId="25">
    <w:abstractNumId w:val="29"/>
  </w:num>
  <w:num w:numId="26">
    <w:abstractNumId w:val="46"/>
  </w:num>
  <w:num w:numId="27">
    <w:abstractNumId w:val="26"/>
  </w:num>
  <w:num w:numId="28">
    <w:abstractNumId w:val="5"/>
  </w:num>
  <w:num w:numId="29">
    <w:abstractNumId w:val="18"/>
  </w:num>
  <w:num w:numId="30">
    <w:abstractNumId w:val="42"/>
  </w:num>
  <w:num w:numId="31">
    <w:abstractNumId w:val="24"/>
  </w:num>
  <w:num w:numId="32">
    <w:abstractNumId w:val="32"/>
  </w:num>
  <w:num w:numId="33">
    <w:abstractNumId w:val="37"/>
  </w:num>
  <w:num w:numId="34">
    <w:abstractNumId w:val="6"/>
  </w:num>
  <w:num w:numId="35">
    <w:abstractNumId w:val="45"/>
  </w:num>
  <w:num w:numId="36">
    <w:abstractNumId w:val="20"/>
  </w:num>
  <w:num w:numId="37">
    <w:abstractNumId w:val="21"/>
  </w:num>
  <w:num w:numId="38">
    <w:abstractNumId w:val="33"/>
  </w:num>
  <w:num w:numId="39">
    <w:abstractNumId w:val="14"/>
  </w:num>
  <w:num w:numId="40">
    <w:abstractNumId w:val="39"/>
  </w:num>
  <w:num w:numId="41">
    <w:abstractNumId w:val="13"/>
  </w:num>
  <w:num w:numId="42">
    <w:abstractNumId w:val="0"/>
  </w:num>
  <w:num w:numId="43">
    <w:abstractNumId w:val="8"/>
  </w:num>
  <w:num w:numId="44">
    <w:abstractNumId w:val="43"/>
  </w:num>
  <w:num w:numId="45">
    <w:abstractNumId w:val="22"/>
  </w:num>
  <w:num w:numId="46">
    <w:abstractNumId w:val="16"/>
  </w:num>
  <w:num w:numId="47">
    <w:abstractNumId w:val="38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2A0D"/>
    <w:rsid w:val="00037AA8"/>
    <w:rsid w:val="0005699F"/>
    <w:rsid w:val="000B025C"/>
    <w:rsid w:val="0012696B"/>
    <w:rsid w:val="00145FD2"/>
    <w:rsid w:val="001551D5"/>
    <w:rsid w:val="001D0734"/>
    <w:rsid w:val="001E6766"/>
    <w:rsid w:val="00220500"/>
    <w:rsid w:val="00273EED"/>
    <w:rsid w:val="002C1520"/>
    <w:rsid w:val="00300403"/>
    <w:rsid w:val="00332A0D"/>
    <w:rsid w:val="00352770"/>
    <w:rsid w:val="003554FD"/>
    <w:rsid w:val="003A1C32"/>
    <w:rsid w:val="003E1C1C"/>
    <w:rsid w:val="00413CB8"/>
    <w:rsid w:val="00414783"/>
    <w:rsid w:val="00416621"/>
    <w:rsid w:val="00452CFE"/>
    <w:rsid w:val="00460490"/>
    <w:rsid w:val="004C0290"/>
    <w:rsid w:val="0054077E"/>
    <w:rsid w:val="005526A3"/>
    <w:rsid w:val="00553619"/>
    <w:rsid w:val="00581C01"/>
    <w:rsid w:val="005F0C67"/>
    <w:rsid w:val="006065DD"/>
    <w:rsid w:val="00662000"/>
    <w:rsid w:val="0074051E"/>
    <w:rsid w:val="008A4068"/>
    <w:rsid w:val="008D0ACB"/>
    <w:rsid w:val="009846B3"/>
    <w:rsid w:val="00993118"/>
    <w:rsid w:val="00A0507B"/>
    <w:rsid w:val="00A51F79"/>
    <w:rsid w:val="00BB23F4"/>
    <w:rsid w:val="00C351B2"/>
    <w:rsid w:val="00C80D41"/>
    <w:rsid w:val="00D65200"/>
    <w:rsid w:val="00D84B76"/>
    <w:rsid w:val="00E07A4A"/>
    <w:rsid w:val="00E954F7"/>
    <w:rsid w:val="00E978CB"/>
    <w:rsid w:val="00EB66BF"/>
    <w:rsid w:val="00ED60BE"/>
    <w:rsid w:val="00F752AC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3"/>
  </w:style>
  <w:style w:type="paragraph" w:styleId="1">
    <w:name w:val="heading 1"/>
    <w:basedOn w:val="a"/>
    <w:next w:val="a"/>
    <w:link w:val="10"/>
    <w:uiPriority w:val="9"/>
    <w:qFormat/>
    <w:rsid w:val="00552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2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2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26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26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2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26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2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26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2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2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2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2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26A3"/>
    <w:rPr>
      <w:b/>
      <w:bCs/>
    </w:rPr>
  </w:style>
  <w:style w:type="character" w:styleId="a9">
    <w:name w:val="Emphasis"/>
    <w:basedOn w:val="a0"/>
    <w:uiPriority w:val="20"/>
    <w:qFormat/>
    <w:rsid w:val="005526A3"/>
    <w:rPr>
      <w:i/>
      <w:iCs/>
    </w:rPr>
  </w:style>
  <w:style w:type="paragraph" w:styleId="aa">
    <w:name w:val="No Spacing"/>
    <w:uiPriority w:val="1"/>
    <w:qFormat/>
    <w:rsid w:val="005526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2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6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26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26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26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26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26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26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26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26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26A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2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2294</Words>
  <Characters>13081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5</cp:revision>
  <dcterms:created xsi:type="dcterms:W3CDTF">2012-08-26T16:17:00Z</dcterms:created>
  <dcterms:modified xsi:type="dcterms:W3CDTF">2012-08-27T14:52:00Z</dcterms:modified>
</cp:coreProperties>
</file>